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BA6E4" w14:textId="77777777" w:rsidR="00567341" w:rsidRDefault="007C4A14" w:rsidP="00567341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lang w:eastAsia="fr-FR"/>
        </w:rPr>
        <w:t>S</w:t>
      </w:r>
      <w:r w:rsidR="009E5B8D">
        <w:rPr>
          <w:lang w:eastAsia="fr-FR"/>
        </w:rPr>
        <w:t>ervomécanisme</w:t>
      </w:r>
      <w:r w:rsidR="009E5B8D">
        <w:rPr>
          <w:rFonts w:ascii="Arial" w:hAnsi="Arial"/>
          <w:sz w:val="22"/>
          <w:szCs w:val="26"/>
          <w:lang w:eastAsia="fr-FR"/>
        </w:rPr>
        <w:t xml:space="preserve"> </w:t>
      </w:r>
    </w:p>
    <w:p w14:paraId="29FE4B07" w14:textId="77777777" w:rsidR="009E5B8D" w:rsidRDefault="009E5B8D" w:rsidP="00567341">
      <w:pPr>
        <w:pStyle w:val="Heading1"/>
        <w:spacing w:before="0" w:after="480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(90 périodes)</w:t>
      </w:r>
    </w:p>
    <w:p w14:paraId="1B9108FD" w14:textId="77777777" w:rsidR="009E5B8D" w:rsidRDefault="009E5B8D" w:rsidP="009E5B8D">
      <w:pPr>
        <w:pStyle w:val="Heading2"/>
      </w:pPr>
      <w:r>
        <w:t>Objectifs Généraux</w:t>
      </w:r>
    </w:p>
    <w:p w14:paraId="2612834A" w14:textId="77777777" w:rsidR="009E5B8D" w:rsidRDefault="009E5B8D" w:rsidP="009E5B8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cours, l’élève devrait être capable de:</w:t>
      </w:r>
    </w:p>
    <w:p w14:paraId="2F437C42" w14:textId="77777777" w:rsidR="009E5B8D" w:rsidRDefault="009E5B8D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les grandeurs fondamentales, les sorties aux entrées typiques, erreur statique et temps de réponse.</w:t>
      </w:r>
    </w:p>
    <w:p w14:paraId="4B02C9AA" w14:textId="77777777" w:rsidR="009E5B8D" w:rsidRDefault="009E5B8D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Expliquer le principe de l’asservissement: affichage, asservissement, utilisation, rôle du gain et du matériel utilisé.</w:t>
      </w:r>
    </w:p>
    <w:p w14:paraId="44FF68DB" w14:textId="77777777" w:rsidR="009E5B8D" w:rsidRDefault="009E5B8D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les fonctions de transfert, schéma bloc et diagrammes fonctionnels.</w:t>
      </w:r>
    </w:p>
    <w:p w14:paraId="15667B31" w14:textId="77777777" w:rsidR="009E5B8D" w:rsidRDefault="009E5B8D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Expliquer le principe, le rôle, et la fonction des différents capteurs, détecteurs d’écart, réseaux correcteurs et amplificateurs.</w:t>
      </w:r>
    </w:p>
    <w:p w14:paraId="1790D448" w14:textId="77777777" w:rsidR="009E5B8D" w:rsidRDefault="009E5B8D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Utiliser les transformations de Laplace.</w:t>
      </w:r>
    </w:p>
    <w:p w14:paraId="2A2C7A97" w14:textId="77777777" w:rsidR="009E5B8D" w:rsidRDefault="009E5B8D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Etablir les fonctions de transfert des systèmes du premier, du second ordre, et par suite d’ordre n, et tracer leurs lieux de transfert dans le plan 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Nyquist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et dans le plan de Bode.</w:t>
      </w:r>
    </w:p>
    <w:p w14:paraId="0767C1AF" w14:textId="77777777" w:rsidR="009E5B8D" w:rsidRDefault="009E5B8D" w:rsidP="00AF72F1">
      <w:pPr>
        <w:numPr>
          <w:ilvl w:val="0"/>
          <w:numId w:val="19"/>
        </w:numPr>
        <w:tabs>
          <w:tab w:val="clear" w:pos="780"/>
        </w:tabs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Utiliser les lieux de transfert pour étudier la stabilité et la précision des systèmes asservis.</w:t>
      </w:r>
    </w:p>
    <w:p w14:paraId="28D2E0B5" w14:textId="5FD69111" w:rsidR="009E5B8D" w:rsidRDefault="009E5B8D" w:rsidP="007867A5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097CE5DD" w14:textId="77777777" w:rsidR="0042475D" w:rsidRDefault="0042475D" w:rsidP="00FC7D3F">
      <w:pPr>
        <w:pStyle w:val="Title"/>
      </w:pPr>
      <w:r>
        <w:rPr>
          <w:u w:val="single"/>
        </w:rPr>
        <w:t xml:space="preserve">Chapitre </w:t>
      </w:r>
      <w:r w:rsidR="00FC7D3F">
        <w:rPr>
          <w:u w:val="single"/>
        </w:rPr>
        <w:t>2</w:t>
      </w:r>
      <w:r>
        <w:rPr>
          <w:u w:val="single"/>
        </w:rPr>
        <w:t xml:space="preserve"> </w:t>
      </w:r>
      <w:r>
        <w:rPr>
          <w:u w:val="single"/>
        </w:rPr>
        <w:br/>
      </w:r>
      <w:r>
        <w:tab/>
        <w:t xml:space="preserve">Fonction de Transfert des systèmes asservis  </w:t>
      </w:r>
    </w:p>
    <w:p w14:paraId="178AFC65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.1 Définition</w:t>
      </w:r>
    </w:p>
    <w:p w14:paraId="4A016F81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.2 Propriété de la fonction de transfert</w:t>
      </w:r>
    </w:p>
    <w:p w14:paraId="341F8646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.3 Fonction de transfert élémentaire</w:t>
      </w:r>
    </w:p>
    <w:p w14:paraId="386F002D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.4 Diagramme fonctionnel (bloc, jonction, sommation, comparateur)</w:t>
      </w:r>
    </w:p>
    <w:p w14:paraId="15668289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.5 Manipulation des schémas blocs</w:t>
      </w:r>
    </w:p>
    <w:p w14:paraId="18AA807D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.6 Graphe de fluence de signaux – règle de Mason</w:t>
      </w:r>
    </w:p>
    <w:p w14:paraId="600FF028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.7 Boucles ouvertes</w:t>
      </w:r>
    </w:p>
    <w:p w14:paraId="5E7D29F0" w14:textId="77777777" w:rsidR="0042475D" w:rsidRDefault="00FC7D3F" w:rsidP="0042475D">
      <w:pPr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.1.1 Fonction de transfert d’un système linéaire d’ordre n</w:t>
      </w:r>
    </w:p>
    <w:p w14:paraId="02BEBC40" w14:textId="77777777" w:rsidR="0042475D" w:rsidRDefault="00FC7D3F" w:rsidP="0042475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.8 Boucles fermées</w:t>
      </w:r>
    </w:p>
    <w:p w14:paraId="6A48917A" w14:textId="77777777" w:rsidR="0042475D" w:rsidRDefault="00FC7D3F" w:rsidP="00FC7D3F">
      <w:pPr>
        <w:ind w:left="1276" w:hanging="55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</w:t>
      </w:r>
      <w:r w:rsidR="00F42907">
        <w:rPr>
          <w:rFonts w:ascii="Arial" w:hAnsi="Arial"/>
          <w:sz w:val="22"/>
          <w:szCs w:val="26"/>
          <w:lang w:val="fr-FR" w:eastAsia="fr-FR"/>
        </w:rPr>
        <w:t>8</w:t>
      </w:r>
      <w:r w:rsidR="0042475D">
        <w:rPr>
          <w:rFonts w:ascii="Arial" w:hAnsi="Arial"/>
          <w:sz w:val="22"/>
          <w:szCs w:val="26"/>
          <w:lang w:val="fr-FR" w:eastAsia="fr-FR"/>
        </w:rPr>
        <w:t>.1 Fonction de transfert, retour unitaire et retour non unitaire</w:t>
      </w:r>
      <w:r>
        <w:rPr>
          <w:rFonts w:ascii="Arial" w:hAnsi="Arial"/>
          <w:sz w:val="22"/>
          <w:szCs w:val="26"/>
          <w:lang w:val="fr-FR" w:eastAsia="fr-FR"/>
        </w:rPr>
        <w:t>.</w:t>
      </w:r>
    </w:p>
    <w:p w14:paraId="42C6CDC8" w14:textId="0FEF7665" w:rsidR="00297CE4" w:rsidRPr="007867A5" w:rsidRDefault="00FC7D3F" w:rsidP="007867A5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</w:t>
      </w:r>
      <w:r w:rsidR="0042475D">
        <w:rPr>
          <w:rFonts w:ascii="Arial" w:hAnsi="Arial"/>
          <w:sz w:val="22"/>
          <w:szCs w:val="26"/>
          <w:lang w:val="fr-FR" w:eastAsia="fr-FR"/>
        </w:rPr>
        <w:t>.9 Exercices d’applications</w:t>
      </w:r>
    </w:p>
    <w:p w14:paraId="7902930F" w14:textId="702663FC" w:rsidR="009E5B8D" w:rsidRPr="007867A5" w:rsidRDefault="009E5B8D" w:rsidP="007867A5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 xml:space="preserve">Chapitre </w:t>
      </w:r>
      <w:r w:rsidR="00FC7D3F">
        <w:rPr>
          <w:rFonts w:cs="Arial Rounded MT Bold"/>
          <w:u w:val="single"/>
        </w:rPr>
        <w:t>3</w:t>
      </w:r>
      <w:r>
        <w:rPr>
          <w:rFonts w:cs="Arial Rounded MT Bold"/>
          <w:u w:val="single"/>
        </w:rPr>
        <w:t xml:space="preserve"> 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 xml:space="preserve"> Transformation de Laplace   </w:t>
      </w:r>
      <w:bookmarkStart w:id="0" w:name="_GoBack"/>
      <w:bookmarkEnd w:id="0"/>
      <w:r>
        <w:t xml:space="preserve"> </w:t>
      </w:r>
    </w:p>
    <w:p w14:paraId="72D09EC8" w14:textId="77777777" w:rsidR="009E5B8D" w:rsidRDefault="00FC7D3F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.1 Définitions et propriétés</w:t>
      </w:r>
    </w:p>
    <w:p w14:paraId="48685412" w14:textId="77777777" w:rsidR="009E5B8D" w:rsidRDefault="00FC7D3F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.2 Représentations de quelques fonctions</w:t>
      </w:r>
    </w:p>
    <w:p w14:paraId="656E024A" w14:textId="77777777" w:rsidR="009E5B8D" w:rsidRDefault="009E5B8D" w:rsidP="00FC7D3F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</w:t>
      </w:r>
      <w:r w:rsidR="00FC7D3F">
        <w:rPr>
          <w:rFonts w:ascii="Arial" w:hAnsi="Arial"/>
          <w:sz w:val="22"/>
          <w:szCs w:val="26"/>
          <w:lang w:val="fr-FR" w:eastAsia="fr-FR"/>
        </w:rPr>
        <w:t>3</w:t>
      </w:r>
      <w:r>
        <w:rPr>
          <w:rFonts w:ascii="Arial" w:hAnsi="Arial"/>
          <w:sz w:val="22"/>
          <w:szCs w:val="26"/>
          <w:lang w:val="fr-FR" w:eastAsia="fr-FR"/>
        </w:rPr>
        <w:t>.2.1 Fonction de Dirac</w:t>
      </w:r>
    </w:p>
    <w:p w14:paraId="485AC339" w14:textId="77777777" w:rsidR="009E5B8D" w:rsidRDefault="009E5B8D" w:rsidP="00FC7D3F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</w:t>
      </w:r>
      <w:r w:rsidR="00FC7D3F">
        <w:rPr>
          <w:rFonts w:ascii="Arial" w:hAnsi="Arial"/>
          <w:sz w:val="22"/>
          <w:szCs w:val="26"/>
          <w:lang w:val="fr-FR" w:eastAsia="fr-FR"/>
        </w:rPr>
        <w:t>3</w:t>
      </w:r>
      <w:r>
        <w:rPr>
          <w:rFonts w:ascii="Arial" w:hAnsi="Arial"/>
          <w:sz w:val="22"/>
          <w:szCs w:val="26"/>
          <w:lang w:val="fr-FR" w:eastAsia="fr-FR"/>
        </w:rPr>
        <w:t>.2.2 Fonction échelon unité u(t)</w:t>
      </w:r>
    </w:p>
    <w:p w14:paraId="5D004296" w14:textId="77777777" w:rsidR="009E5B8D" w:rsidRDefault="009E5B8D" w:rsidP="00FC7D3F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</w:t>
      </w:r>
      <w:r w:rsidR="00FC7D3F">
        <w:rPr>
          <w:rFonts w:ascii="Arial" w:hAnsi="Arial"/>
          <w:sz w:val="22"/>
          <w:szCs w:val="26"/>
          <w:lang w:val="fr-FR" w:eastAsia="fr-FR"/>
        </w:rPr>
        <w:t>3</w:t>
      </w:r>
      <w:r>
        <w:rPr>
          <w:rFonts w:ascii="Arial" w:hAnsi="Arial"/>
          <w:sz w:val="22"/>
          <w:szCs w:val="26"/>
          <w:lang w:val="fr-FR" w:eastAsia="fr-FR"/>
        </w:rPr>
        <w:t>.2.3 Fonction rampe</w:t>
      </w:r>
    </w:p>
    <w:p w14:paraId="6E076F5F" w14:textId="77777777" w:rsidR="009E5B8D" w:rsidRDefault="009E5B8D" w:rsidP="00FC7D3F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</w:t>
      </w:r>
      <w:r w:rsidR="00FC7D3F">
        <w:rPr>
          <w:rFonts w:ascii="Arial" w:hAnsi="Arial"/>
          <w:sz w:val="22"/>
          <w:szCs w:val="26"/>
          <w:lang w:val="fr-FR" w:eastAsia="fr-FR"/>
        </w:rPr>
        <w:t>3</w:t>
      </w:r>
      <w:r>
        <w:rPr>
          <w:rFonts w:ascii="Arial" w:hAnsi="Arial"/>
          <w:sz w:val="22"/>
          <w:szCs w:val="26"/>
          <w:lang w:val="fr-FR" w:eastAsia="fr-FR"/>
        </w:rPr>
        <w:t xml:space="preserve">.2.4 Fonction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t</w:t>
      </w:r>
      <w:r w:rsidRPr="009300C8">
        <w:rPr>
          <w:rFonts w:ascii="Arial" w:hAnsi="Arial"/>
          <w:sz w:val="22"/>
          <w:szCs w:val="26"/>
          <w:vertAlign w:val="superscript"/>
          <w:lang w:val="fr-FR" w:eastAsia="fr-FR"/>
        </w:rPr>
        <w:t>n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</w:t>
      </w:r>
    </w:p>
    <w:p w14:paraId="2E488B85" w14:textId="77777777" w:rsidR="009E5B8D" w:rsidRDefault="00FC7D3F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.3 Tableau des transformées usuelles</w:t>
      </w:r>
    </w:p>
    <w:p w14:paraId="301D3879" w14:textId="77777777" w:rsidR="009E5B8D" w:rsidRDefault="00FC7D3F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.4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Transformée d’une fonction périodique</w:t>
      </w:r>
    </w:p>
    <w:p w14:paraId="6C0C348C" w14:textId="77777777" w:rsidR="009E5B8D" w:rsidRDefault="00FC7D3F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 xml:space="preserve">.5 Transformée de f(at), f(t - </w:t>
      </w:r>
      <w:r w:rsidR="009E5B8D">
        <w:rPr>
          <w:rFonts w:ascii="Arial" w:hAnsi="Arial"/>
          <w:sz w:val="22"/>
          <w:szCs w:val="22"/>
          <w:lang w:val="fr-FR" w:eastAsia="fr-FR"/>
        </w:rPr>
        <w:sym w:font="Symbol" w:char="F074"/>
      </w:r>
      <w:r w:rsidR="009E5B8D">
        <w:rPr>
          <w:rFonts w:ascii="Arial" w:hAnsi="Arial"/>
          <w:sz w:val="22"/>
          <w:szCs w:val="26"/>
          <w:lang w:val="fr-FR" w:eastAsia="fr-FR"/>
        </w:rPr>
        <w:t>)</w:t>
      </w:r>
    </w:p>
    <w:p w14:paraId="2B48E0B6" w14:textId="77777777" w:rsidR="009E5B8D" w:rsidRDefault="00FC7D3F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.6 Dérivation: application au cas des conditions initiales nulles</w:t>
      </w:r>
    </w:p>
    <w:p w14:paraId="25E177B7" w14:textId="77777777" w:rsidR="009E5B8D" w:rsidRDefault="00FC7D3F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.7 La transformée inverse de Laplace</w:t>
      </w:r>
    </w:p>
    <w:p w14:paraId="55BA79E7" w14:textId="77777777" w:rsidR="009E5B8D" w:rsidRDefault="009E5B8D" w:rsidP="00FC7D3F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</w:t>
      </w:r>
      <w:r w:rsidR="00FC7D3F">
        <w:rPr>
          <w:rFonts w:ascii="Arial" w:hAnsi="Arial"/>
          <w:sz w:val="22"/>
          <w:szCs w:val="26"/>
          <w:lang w:val="fr-FR" w:eastAsia="fr-FR"/>
        </w:rPr>
        <w:t>3</w:t>
      </w:r>
      <w:r>
        <w:rPr>
          <w:rFonts w:ascii="Arial" w:hAnsi="Arial"/>
          <w:sz w:val="22"/>
          <w:szCs w:val="26"/>
          <w:lang w:val="fr-FR" w:eastAsia="fr-FR"/>
        </w:rPr>
        <w:t>.7.1 Décomposition en éléments simples</w:t>
      </w:r>
    </w:p>
    <w:p w14:paraId="6DE36543" w14:textId="77777777" w:rsidR="009E5B8D" w:rsidRDefault="009E5B8D" w:rsidP="00FC7D3F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</w:t>
      </w:r>
      <w:r w:rsidR="00FC7D3F">
        <w:rPr>
          <w:rFonts w:ascii="Arial" w:hAnsi="Arial"/>
          <w:sz w:val="22"/>
          <w:szCs w:val="26"/>
          <w:lang w:val="fr-FR" w:eastAsia="fr-FR"/>
        </w:rPr>
        <w:t>3</w:t>
      </w:r>
      <w:r>
        <w:rPr>
          <w:rFonts w:ascii="Arial" w:hAnsi="Arial"/>
          <w:sz w:val="22"/>
          <w:szCs w:val="26"/>
          <w:lang w:val="fr-FR" w:eastAsia="fr-FR"/>
        </w:rPr>
        <w:t>.7.2 Détermination des inverses par utilisation du développement en élément simple</w:t>
      </w:r>
    </w:p>
    <w:p w14:paraId="5FECCE47" w14:textId="77777777" w:rsidR="009E5B8D" w:rsidRDefault="00FC7D3F" w:rsidP="00457CC1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</w:t>
      </w:r>
      <w:r w:rsidR="00457CC1">
        <w:rPr>
          <w:rFonts w:ascii="Arial" w:hAnsi="Arial"/>
          <w:sz w:val="22"/>
          <w:szCs w:val="26"/>
          <w:lang w:val="fr-FR" w:eastAsia="fr-FR"/>
        </w:rPr>
        <w:t>9</w:t>
      </w:r>
      <w:r w:rsidR="009E5B8D">
        <w:rPr>
          <w:rFonts w:ascii="Arial" w:hAnsi="Arial"/>
          <w:sz w:val="22"/>
          <w:szCs w:val="26"/>
          <w:lang w:val="fr-FR" w:eastAsia="fr-FR"/>
        </w:rPr>
        <w:t xml:space="preserve"> Application de la transformation de Laplace à la résolution d'équations différentielles linéaires à coefficient constants.</w:t>
      </w:r>
    </w:p>
    <w:p w14:paraId="1AB256DB" w14:textId="77777777" w:rsidR="009E5B8D" w:rsidRDefault="00FC7D3F" w:rsidP="00457CC1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</w:t>
      </w:r>
      <w:r w:rsidR="00457CC1">
        <w:rPr>
          <w:rFonts w:ascii="Arial" w:hAnsi="Arial"/>
          <w:sz w:val="22"/>
          <w:szCs w:val="26"/>
          <w:lang w:val="fr-FR" w:eastAsia="fr-FR"/>
        </w:rPr>
        <w:t>10</w:t>
      </w:r>
      <w:r w:rsidR="009E5B8D">
        <w:rPr>
          <w:rFonts w:ascii="Arial" w:hAnsi="Arial"/>
          <w:sz w:val="22"/>
          <w:szCs w:val="26"/>
          <w:lang w:val="fr-FR" w:eastAsia="fr-FR"/>
        </w:rPr>
        <w:t xml:space="preserve"> Exercices d’applications</w:t>
      </w:r>
    </w:p>
    <w:p w14:paraId="46BAD9F6" w14:textId="77777777" w:rsidR="009E5B8D" w:rsidRDefault="009E5B8D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09489A5F" w14:textId="77777777" w:rsidR="009E5B8D" w:rsidRDefault="009E5B8D" w:rsidP="00F33B51">
      <w:pPr>
        <w:pStyle w:val="Title"/>
      </w:pPr>
      <w:r>
        <w:rPr>
          <w:u w:val="single"/>
        </w:rPr>
        <w:lastRenderedPageBreak/>
        <w:t xml:space="preserve">Chapitre </w:t>
      </w:r>
      <w:r w:rsidR="00F33B51">
        <w:rPr>
          <w:u w:val="single"/>
        </w:rPr>
        <w:t>4</w:t>
      </w:r>
      <w:r>
        <w:rPr>
          <w:u w:val="single"/>
        </w:rPr>
        <w:t xml:space="preserve"> </w:t>
      </w:r>
      <w:r>
        <w:rPr>
          <w:u w:val="single"/>
        </w:rPr>
        <w:br/>
      </w:r>
      <w:r>
        <w:t xml:space="preserve">  Systèmes du premier ordre</w:t>
      </w:r>
      <w:r>
        <w:tab/>
      </w:r>
    </w:p>
    <w:p w14:paraId="4156E67C" w14:textId="77777777" w:rsidR="009E5B8D" w:rsidRDefault="00F33B51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.1 Définition et exemples: circuit R-C</w:t>
      </w:r>
    </w:p>
    <w:p w14:paraId="71021363" w14:textId="79C24ED3" w:rsidR="009E5B8D" w:rsidRDefault="009E5B8D" w:rsidP="00FC7D3F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77AEA69C" w14:textId="77777777" w:rsidR="009E5B8D" w:rsidRDefault="00F33B51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 xml:space="preserve">.3 Circuit R, </w:t>
      </w:r>
      <w:proofErr w:type="spellStart"/>
      <w:r w:rsidR="009E5B8D">
        <w:rPr>
          <w:rFonts w:ascii="Arial" w:hAnsi="Arial"/>
          <w:sz w:val="22"/>
          <w:szCs w:val="26"/>
          <w:lang w:val="fr-FR" w:eastAsia="fr-FR"/>
        </w:rPr>
        <w:t>L</w:t>
      </w:r>
      <w:proofErr w:type="spellEnd"/>
      <w:r w:rsidR="009E5B8D">
        <w:rPr>
          <w:rFonts w:ascii="Arial" w:hAnsi="Arial"/>
          <w:sz w:val="22"/>
          <w:szCs w:val="26"/>
          <w:lang w:val="fr-FR" w:eastAsia="fr-FR"/>
        </w:rPr>
        <w:t xml:space="preserve"> série en régime transitoire</w:t>
      </w:r>
      <w:r w:rsidR="00C76939">
        <w:rPr>
          <w:rFonts w:ascii="Arial" w:hAnsi="Arial"/>
          <w:sz w:val="22"/>
          <w:szCs w:val="26"/>
          <w:lang w:val="fr-FR" w:eastAsia="fr-FR"/>
        </w:rPr>
        <w:t>.</w:t>
      </w:r>
    </w:p>
    <w:p w14:paraId="023AB360" w14:textId="77777777" w:rsidR="009E5B8D" w:rsidRDefault="00F33B51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.4 Circuit R, C série en régime transitoire</w:t>
      </w:r>
      <w:r w:rsidR="00C76939">
        <w:rPr>
          <w:rFonts w:ascii="Arial" w:hAnsi="Arial"/>
          <w:sz w:val="22"/>
          <w:szCs w:val="26"/>
          <w:lang w:val="fr-FR" w:eastAsia="fr-FR"/>
        </w:rPr>
        <w:t>.</w:t>
      </w:r>
    </w:p>
    <w:p w14:paraId="6F0A7636" w14:textId="77777777" w:rsidR="009E5B8D" w:rsidRDefault="00F33B51" w:rsidP="009E5B8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.8 Exercices d’applications</w:t>
      </w:r>
      <w:r w:rsidR="00C76939">
        <w:rPr>
          <w:rFonts w:ascii="Arial" w:hAnsi="Arial"/>
          <w:sz w:val="22"/>
          <w:szCs w:val="26"/>
          <w:lang w:val="fr-FR" w:eastAsia="fr-FR"/>
        </w:rPr>
        <w:t>.</w:t>
      </w:r>
    </w:p>
    <w:p w14:paraId="7F65DC91" w14:textId="77777777" w:rsidR="00F33B51" w:rsidRDefault="00F33B51" w:rsidP="00F33B51">
      <w:pPr>
        <w:pStyle w:val="Title"/>
      </w:pPr>
      <w:r>
        <w:rPr>
          <w:u w:val="single"/>
        </w:rPr>
        <w:t>Chapitre 5</w:t>
      </w:r>
      <w:r>
        <w:rPr>
          <w:u w:val="single"/>
        </w:rPr>
        <w:br/>
      </w:r>
      <w:r>
        <w:t xml:space="preserve">  Représentations Graphiques et lieux de transfert</w:t>
      </w:r>
      <w:r>
        <w:tab/>
      </w:r>
    </w:p>
    <w:p w14:paraId="5B680421" w14:textId="77777777" w:rsidR="00F33B51" w:rsidRDefault="00F33B51" w:rsidP="00F33B51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5.2 Lieu 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Nyquist</w:t>
      </w:r>
      <w:proofErr w:type="spellEnd"/>
    </w:p>
    <w:p w14:paraId="744E937A" w14:textId="48BBD7C9" w:rsidR="00297CE4" w:rsidRDefault="00297CE4" w:rsidP="00783F7D">
      <w:pPr>
        <w:pStyle w:val="Title"/>
        <w:jc w:val="left"/>
        <w:rPr>
          <w:u w:val="single"/>
        </w:rPr>
      </w:pPr>
    </w:p>
    <w:p w14:paraId="057CAF14" w14:textId="77777777" w:rsidR="00291C7F" w:rsidRDefault="00291C7F" w:rsidP="00F33B51">
      <w:pPr>
        <w:pStyle w:val="Title"/>
        <w:rPr>
          <w:u w:val="single"/>
        </w:rPr>
      </w:pPr>
    </w:p>
    <w:p w14:paraId="1B553A34" w14:textId="77777777" w:rsidR="00F33B51" w:rsidRDefault="00F33B51" w:rsidP="00F33B51">
      <w:pPr>
        <w:pStyle w:val="Title"/>
      </w:pPr>
      <w:r>
        <w:rPr>
          <w:u w:val="single"/>
        </w:rPr>
        <w:t xml:space="preserve">Chapitre 6 </w:t>
      </w:r>
      <w:r>
        <w:rPr>
          <w:u w:val="single"/>
        </w:rPr>
        <w:br/>
      </w:r>
      <w:r>
        <w:t xml:space="preserve"> </w:t>
      </w:r>
      <w:r>
        <w:tab/>
        <w:t xml:space="preserve">Stabilité des systèmes asservis </w:t>
      </w:r>
    </w:p>
    <w:p w14:paraId="2FA6AF9D" w14:textId="77777777" w:rsidR="00F33B51" w:rsidRDefault="00F33B51" w:rsidP="00726CC9">
      <w:pPr>
        <w:pStyle w:val="periode"/>
      </w:pPr>
      <w:r>
        <w:t xml:space="preserve"> </w:t>
      </w:r>
    </w:p>
    <w:p w14:paraId="2A0021FE" w14:textId="77777777" w:rsidR="00F33B51" w:rsidRDefault="00F33B51" w:rsidP="00F33B51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 Critère de stabilité</w:t>
      </w:r>
    </w:p>
    <w:p w14:paraId="6224CE4F" w14:textId="77777777" w:rsidR="00F33B51" w:rsidRDefault="00F33B51" w:rsidP="00F33B51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6.2.1 Critère algébriques – critère 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Routh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–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Hurwitz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14:paraId="0E0681D6" w14:textId="59BFBE83" w:rsidR="00F33B51" w:rsidRDefault="00F33B51" w:rsidP="00783F7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6.3 Utilisation pratique du critère 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Nyquist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: règle de Revers</w:t>
      </w:r>
      <w:r w:rsidRPr="000B1A08">
        <w:rPr>
          <w:rFonts w:ascii="Arial" w:hAnsi="Arial"/>
          <w:sz w:val="22"/>
          <w:szCs w:val="26"/>
          <w:highlight w:val="yellow"/>
          <w:lang w:val="fr-FR" w:eastAsia="fr-FR"/>
        </w:rPr>
        <w:t xml:space="preserve">       </w:t>
      </w:r>
    </w:p>
    <w:p w14:paraId="2AAFB40D" w14:textId="2BFC7C43" w:rsidR="00F33B51" w:rsidRDefault="00F33B51" w:rsidP="00783F7D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6.5 Stabilité pratique: marge de gain, marge de phase </w:t>
      </w:r>
    </w:p>
    <w:p w14:paraId="319B313D" w14:textId="77777777" w:rsidR="00F33B51" w:rsidRDefault="00F33B51" w:rsidP="00F33B51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6.6 Critère graphiques de stabilité.</w:t>
      </w:r>
    </w:p>
    <w:p w14:paraId="29BCB4D2" w14:textId="77777777" w:rsidR="00F33B51" w:rsidRDefault="00F33B51" w:rsidP="00F33B51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6.7 Exercices d’applications.</w:t>
      </w:r>
    </w:p>
    <w:p w14:paraId="4771B6F4" w14:textId="77777777" w:rsidR="009E5B8D" w:rsidRDefault="009E5B8D" w:rsidP="009E5B8D">
      <w:pPr>
        <w:ind w:left="567" w:right="360" w:hanging="567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7084803C" w14:textId="77777777" w:rsidR="009E5B8D" w:rsidRDefault="009E5B8D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26387695" w14:textId="77777777" w:rsidR="009E5B8D" w:rsidRDefault="009E5B8D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5F2A0479" w14:textId="77777777" w:rsidR="009E5B8D" w:rsidRDefault="009E5B8D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69FA87B2" w14:textId="77777777" w:rsidR="009E5B8D" w:rsidRDefault="009E5B8D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4B34AD87" w14:textId="77777777" w:rsidR="009E5B8D" w:rsidRDefault="009E5B8D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3EF1E32B" w14:textId="77777777" w:rsidR="009E5B8D" w:rsidRDefault="009E5B8D" w:rsidP="009E5B8D">
      <w:pPr>
        <w:rPr>
          <w:rFonts w:ascii="Arial" w:hAnsi="Arial"/>
          <w:sz w:val="22"/>
          <w:szCs w:val="26"/>
          <w:lang w:val="fr-FR" w:eastAsia="fr-FR"/>
        </w:rPr>
      </w:pPr>
    </w:p>
    <w:sectPr w:rsidR="009E5B8D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6FA61" w14:textId="77777777" w:rsidR="000014B7" w:rsidRDefault="000014B7">
      <w:r>
        <w:separator/>
      </w:r>
    </w:p>
  </w:endnote>
  <w:endnote w:type="continuationSeparator" w:id="0">
    <w:p w14:paraId="1CCD7B87" w14:textId="77777777" w:rsidR="000014B7" w:rsidRDefault="0000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C6D69" w14:textId="77777777" w:rsidR="000014B7" w:rsidRDefault="000014B7">
      <w:r>
        <w:separator/>
      </w:r>
    </w:p>
  </w:footnote>
  <w:footnote w:type="continuationSeparator" w:id="0">
    <w:p w14:paraId="1553E8C4" w14:textId="77777777" w:rsidR="000014B7" w:rsidRDefault="00001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47D3" w14:textId="77777777"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14:paraId="3FC54B0F" w14:textId="77777777"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14:paraId="0EDD5D63" w14:textId="77777777"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14:paraId="5D5457C2" w14:textId="77777777"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8D"/>
    <w:rsid w:val="00000BBC"/>
    <w:rsid w:val="00000D28"/>
    <w:rsid w:val="00000D8F"/>
    <w:rsid w:val="0000137B"/>
    <w:rsid w:val="000014B7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1A08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0029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2815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97CE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62EE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D6540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6CC9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3F7D"/>
    <w:rsid w:val="007857D9"/>
    <w:rsid w:val="00785F5B"/>
    <w:rsid w:val="007867A5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5FE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0E0E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A53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92CF27"/>
  <w15:docId w15:val="{EF8EF560-45B2-4E95-9EDE-189E2306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AC02C-AA49-4262-A90C-4FFBFE25B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4</cp:revision>
  <cp:lastPrinted>2014-02-26T21:41:00Z</cp:lastPrinted>
  <dcterms:created xsi:type="dcterms:W3CDTF">2020-10-12T20:45:00Z</dcterms:created>
  <dcterms:modified xsi:type="dcterms:W3CDTF">2020-10-13T06:57:00Z</dcterms:modified>
</cp:coreProperties>
</file>